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Сообщение о проведении годового общего собрания акционеров</w:t>
      </w:r>
    </w:p>
    <w:p w14:paraId="02000000">
      <w:pPr>
        <w:pStyle w:val="Style_1"/>
        <w:rPr>
          <w:i w:val="1"/>
          <w:sz w:val="22"/>
          <w:u w:val="none"/>
        </w:rPr>
      </w:pPr>
      <w:r>
        <w:rPr>
          <w:i w:val="1"/>
          <w:sz w:val="22"/>
          <w:u w:val="none"/>
        </w:rPr>
        <w:t>Акционерного общества «Племенной завод «Расцвет»</w:t>
      </w:r>
    </w:p>
    <w:p w14:paraId="03000000">
      <w:pPr>
        <w:ind/>
        <w:jc w:val="center"/>
        <w:rPr>
          <w:b w:val="1"/>
          <w:sz w:val="22"/>
          <w:u w:val="single"/>
        </w:rPr>
      </w:pPr>
    </w:p>
    <w:p w14:paraId="04000000">
      <w:pPr>
        <w:pStyle w:val="Style_1"/>
        <w:ind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Настоящим уведомляем вас о том, что в соответствии с Федеральным законом «Об акционерных обществах» состоится годовое общее собрание акционеров А</w:t>
      </w:r>
      <w:r>
        <w:rPr>
          <w:b w:val="0"/>
          <w:sz w:val="22"/>
          <w:u w:val="none"/>
        </w:rPr>
        <w:t>кционерного общества</w:t>
      </w:r>
      <w:r>
        <w:rPr>
          <w:b w:val="0"/>
          <w:sz w:val="22"/>
          <w:u w:val="none"/>
        </w:rPr>
        <w:t xml:space="preserve"> «Племенной завод «Расцвет».</w:t>
      </w:r>
    </w:p>
    <w:p w14:paraId="05000000">
      <w:pPr>
        <w:ind/>
        <w:jc w:val="center"/>
        <w:rPr>
          <w:b w:val="1"/>
          <w:sz w:val="22"/>
          <w:u w:val="single"/>
        </w:rPr>
      </w:pPr>
    </w:p>
    <w:p w14:paraId="06000000">
      <w:pPr>
        <w:ind w:right="-1"/>
        <w:jc w:val="both"/>
        <w:rPr>
          <w:b w:val="1"/>
          <w:i w:val="1"/>
          <w:sz w:val="22"/>
        </w:rPr>
      </w:pPr>
      <w:r>
        <w:rPr>
          <w:sz w:val="22"/>
        </w:rPr>
        <w:t xml:space="preserve">Место нахождения Общества: </w:t>
      </w:r>
      <w:r>
        <w:rPr>
          <w:sz w:val="22"/>
        </w:rPr>
        <w:t xml:space="preserve"> </w:t>
      </w:r>
      <w:r>
        <w:rPr>
          <w:b w:val="1"/>
          <w:i w:val="1"/>
          <w:sz w:val="22"/>
        </w:rPr>
        <w:t xml:space="preserve">Ленинградская область, Приозерский район, дер. Кривко, </w:t>
      </w:r>
      <w:r>
        <w:rPr>
          <w:b w:val="1"/>
          <w:i w:val="1"/>
          <w:sz w:val="22"/>
        </w:rPr>
        <w:br/>
      </w:r>
      <w:r>
        <w:rPr>
          <w:b w:val="1"/>
          <w:i w:val="1"/>
          <w:sz w:val="22"/>
        </w:rPr>
        <w:t xml:space="preserve">ул. Фестивальная, д. 1. </w:t>
      </w:r>
    </w:p>
    <w:p w14:paraId="07000000">
      <w:pPr>
        <w:ind/>
        <w:jc w:val="both"/>
        <w:rPr>
          <w:sz w:val="22"/>
        </w:rPr>
      </w:pPr>
      <w:r>
        <w:rPr>
          <w:sz w:val="22"/>
        </w:rPr>
        <w:t>Дата составления списка лиц, имеющих право на участие в годовом общем собрании акционеров:</w:t>
      </w:r>
      <w:r>
        <w:rPr>
          <w:sz w:val="22"/>
        </w:rPr>
        <w:t xml:space="preserve">  </w:t>
      </w:r>
      <w:r>
        <w:rPr>
          <w:b w:val="1"/>
          <w:i w:val="1"/>
          <w:sz w:val="22"/>
        </w:rPr>
        <w:t xml:space="preserve">07  апреля  </w:t>
      </w:r>
      <w:r>
        <w:rPr>
          <w:b w:val="1"/>
          <w:i w:val="1"/>
          <w:sz w:val="22"/>
        </w:rPr>
        <w:t>2023</w:t>
      </w:r>
      <w:r>
        <w:rPr>
          <w:b w:val="1"/>
          <w:i w:val="1"/>
          <w:sz w:val="22"/>
        </w:rPr>
        <w:t xml:space="preserve"> г</w:t>
      </w:r>
      <w:r>
        <w:rPr>
          <w:b w:val="1"/>
          <w:i w:val="1"/>
          <w:sz w:val="22"/>
        </w:rPr>
        <w:t>.</w:t>
      </w:r>
    </w:p>
    <w:p w14:paraId="08000000">
      <w:pPr>
        <w:ind/>
        <w:jc w:val="both"/>
        <w:rPr>
          <w:sz w:val="22"/>
        </w:rPr>
      </w:pPr>
      <w:r>
        <w:rPr>
          <w:sz w:val="22"/>
        </w:rPr>
        <w:t>Дата проведения годового общего собрания акционеров:</w:t>
      </w:r>
      <w:r>
        <w:rPr>
          <w:sz w:val="22"/>
        </w:rPr>
        <w:t xml:space="preserve"> </w:t>
      </w:r>
      <w:r>
        <w:rPr>
          <w:b w:val="1"/>
          <w:i w:val="1"/>
          <w:sz w:val="22"/>
        </w:rPr>
        <w:t xml:space="preserve">02 мая </w:t>
      </w:r>
      <w:r>
        <w:rPr>
          <w:b w:val="1"/>
          <w:i w:val="1"/>
          <w:sz w:val="22"/>
        </w:rPr>
        <w:t>2023</w:t>
      </w:r>
      <w:r>
        <w:rPr>
          <w:b w:val="1"/>
          <w:i w:val="1"/>
          <w:sz w:val="22"/>
        </w:rPr>
        <w:t>г</w:t>
      </w:r>
      <w:r>
        <w:rPr>
          <w:b w:val="1"/>
          <w:i w:val="1"/>
          <w:sz w:val="22"/>
        </w:rPr>
        <w:t>.</w:t>
      </w:r>
    </w:p>
    <w:p w14:paraId="09000000">
      <w:pPr>
        <w:ind w:right="-1"/>
        <w:jc w:val="both"/>
        <w:rPr>
          <w:b w:val="1"/>
          <w:i w:val="1"/>
          <w:sz w:val="22"/>
        </w:rPr>
      </w:pPr>
      <w:r>
        <w:rPr>
          <w:sz w:val="22"/>
        </w:rPr>
        <w:t>Место проведения годового общего собрания акционеров:</w:t>
      </w:r>
      <w:r>
        <w:rPr>
          <w:sz w:val="22"/>
        </w:rPr>
        <w:t xml:space="preserve"> </w:t>
      </w:r>
      <w:r>
        <w:rPr>
          <w:b w:val="1"/>
          <w:i w:val="1"/>
          <w:sz w:val="22"/>
        </w:rPr>
        <w:t xml:space="preserve">Ленинградская область, Приозерский район, дер. Кривко, ул. Фестивальная, д. 1. </w:t>
      </w:r>
    </w:p>
    <w:p w14:paraId="0A000000">
      <w:pPr>
        <w:ind/>
        <w:jc w:val="both"/>
        <w:rPr>
          <w:sz w:val="22"/>
        </w:rPr>
      </w:pPr>
      <w:r>
        <w:rPr>
          <w:sz w:val="22"/>
        </w:rPr>
        <w:t xml:space="preserve">Форма проведения:  </w:t>
      </w:r>
      <w:r>
        <w:rPr>
          <w:b w:val="1"/>
          <w:i w:val="1"/>
          <w:sz w:val="22"/>
        </w:rPr>
        <w:t xml:space="preserve">собрание </w:t>
      </w:r>
      <w:r>
        <w:rPr>
          <w:b w:val="1"/>
          <w:i w:val="1"/>
          <w:sz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14:paraId="0B000000">
      <w:pPr>
        <w:ind/>
        <w:jc w:val="both"/>
        <w:rPr>
          <w:sz w:val="22"/>
        </w:rPr>
      </w:pPr>
      <w:r>
        <w:rPr>
          <w:sz w:val="22"/>
        </w:rPr>
        <w:t xml:space="preserve">Время проведения годового общего собрания акционеров: </w:t>
      </w:r>
      <w:r>
        <w:rPr>
          <w:b w:val="1"/>
          <w:i w:val="1"/>
          <w:sz w:val="22"/>
        </w:rPr>
        <w:t>12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 xml:space="preserve">часов </w:t>
      </w:r>
      <w:r>
        <w:rPr>
          <w:b w:val="1"/>
          <w:i w:val="1"/>
          <w:sz w:val="22"/>
        </w:rPr>
        <w:t>00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>минут.</w:t>
      </w:r>
    </w:p>
    <w:p w14:paraId="0C000000">
      <w:pPr>
        <w:tabs>
          <w:tab w:leader="none" w:pos="3119" w:val="left"/>
        </w:tabs>
        <w:ind/>
        <w:jc w:val="both"/>
        <w:rPr>
          <w:sz w:val="22"/>
        </w:rPr>
      </w:pPr>
      <w:r>
        <w:rPr>
          <w:sz w:val="22"/>
        </w:rPr>
        <w:t xml:space="preserve">Начало регистрации лиц, имеющих право на участие в годовом общем собрании акционеров: </w:t>
      </w:r>
      <w:r>
        <w:rPr>
          <w:sz w:val="22"/>
        </w:rPr>
        <w:br/>
      </w:r>
      <w:r>
        <w:rPr>
          <w:b w:val="1"/>
          <w:i w:val="1"/>
          <w:sz w:val="22"/>
        </w:rPr>
        <w:t>11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>часов 30</w:t>
      </w:r>
      <w:r>
        <w:rPr>
          <w:b w:val="1"/>
          <w:i w:val="1"/>
          <w:sz w:val="22"/>
        </w:rPr>
        <w:t xml:space="preserve"> минут.</w:t>
      </w:r>
    </w:p>
    <w:p w14:paraId="0D000000">
      <w:pPr>
        <w:ind w:right="-1"/>
        <w:jc w:val="both"/>
        <w:rPr>
          <w:b w:val="1"/>
          <w:i w:val="1"/>
          <w:sz w:val="22"/>
        </w:rPr>
      </w:pPr>
      <w:r>
        <w:rPr>
          <w:sz w:val="22"/>
        </w:rPr>
        <w:t xml:space="preserve">Регистрация лиц, имеющих право на участие в годовом общем собрании акционеров состоится по адресу:  </w:t>
      </w:r>
      <w:r>
        <w:rPr>
          <w:b w:val="1"/>
          <w:i w:val="1"/>
          <w:sz w:val="22"/>
        </w:rPr>
        <w:t xml:space="preserve">Ленинградская область, Приозерский район, дер. Кривко, </w:t>
      </w:r>
      <w:r>
        <w:rPr>
          <w:b w:val="1"/>
          <w:i w:val="1"/>
          <w:sz w:val="22"/>
        </w:rPr>
        <w:br/>
      </w:r>
      <w:r>
        <w:rPr>
          <w:b w:val="1"/>
          <w:i w:val="1"/>
          <w:sz w:val="22"/>
        </w:rPr>
        <w:t>ул. Фестивальная, д. 1.</w:t>
      </w:r>
    </w:p>
    <w:p w14:paraId="0E000000">
      <w:pPr>
        <w:ind w:right="-1"/>
        <w:jc w:val="both"/>
        <w:rPr>
          <w:b w:val="1"/>
          <w:i w:val="1"/>
          <w:sz w:val="22"/>
        </w:rPr>
      </w:pPr>
      <w:r>
        <w:rPr>
          <w:sz w:val="22"/>
        </w:rPr>
        <w:t xml:space="preserve">Почтовый адрес, по которому могут направляться заполненные бюллетени: </w:t>
      </w:r>
      <w:r>
        <w:rPr>
          <w:b w:val="1"/>
          <w:i w:val="1"/>
          <w:sz w:val="22"/>
        </w:rPr>
        <w:t>188730, Ленинградская область, Приозерский район, дер. Кривко, ул. Фестивальная, д. 1.</w:t>
      </w:r>
    </w:p>
    <w:p w14:paraId="0F000000">
      <w:pPr>
        <w:pStyle w:val="Style_2"/>
        <w:spacing w:before="120"/>
        <w:ind w:firstLine="0" w:left="0"/>
        <w:jc w:val="both"/>
        <w:rPr>
          <w:b w:val="1"/>
          <w:i w:val="1"/>
          <w:sz w:val="22"/>
        </w:rPr>
      </w:pPr>
      <w:r>
        <w:rPr>
          <w:sz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 w:val="1"/>
          <w:i w:val="1"/>
          <w:sz w:val="22"/>
        </w:rPr>
        <w:t>акции обыкновенные именные бездокументарные, государственный регистрацио</w:t>
      </w:r>
      <w:r>
        <w:rPr>
          <w:b w:val="1"/>
          <w:i w:val="1"/>
          <w:sz w:val="22"/>
        </w:rPr>
        <w:t>нный номер выпуска ценных бумаг -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br/>
      </w:r>
      <w:r>
        <w:rPr>
          <w:b w:val="1"/>
          <w:i w:val="1"/>
          <w:sz w:val="22"/>
        </w:rPr>
        <w:t>1-01-10304-</w:t>
      </w:r>
      <w:r>
        <w:rPr>
          <w:b w:val="1"/>
          <w:i w:val="1"/>
          <w:sz w:val="22"/>
        </w:rPr>
        <w:t>J</w:t>
      </w:r>
      <w:r>
        <w:rPr>
          <w:b w:val="1"/>
          <w:i w:val="1"/>
          <w:sz w:val="22"/>
        </w:rPr>
        <w:t>, дата государственной регистрации выпуска – 14.01.2004.</w:t>
      </w:r>
    </w:p>
    <w:p w14:paraId="10000000">
      <w:pPr>
        <w:ind/>
        <w:jc w:val="both"/>
        <w:rPr>
          <w:sz w:val="22"/>
        </w:rPr>
      </w:pPr>
    </w:p>
    <w:p w14:paraId="11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ПОВЕСТКА ДНЯ:</w:t>
      </w:r>
    </w:p>
    <w:p w14:paraId="12000000">
      <w:pPr>
        <w:rPr>
          <w:color w:val="333333"/>
          <w:sz w:val="22"/>
        </w:rPr>
      </w:pPr>
      <w:r>
        <w:rPr>
          <w:sz w:val="22"/>
        </w:rPr>
        <w:t>1. Утверждение годового отчета, годовой бухгалтерской (финансовой) отчетности Общества.</w:t>
      </w:r>
    </w:p>
    <w:p w14:paraId="13000000">
      <w:pPr>
        <w:pStyle w:val="Style_2"/>
        <w:spacing w:after="0"/>
        <w:ind w:hanging="720"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>2. Распределение прибыли (в том числе выплата дивидендов) и убыт</w:t>
      </w:r>
      <w:r>
        <w:rPr>
          <w:sz w:val="22"/>
        </w:rPr>
        <w:t>ков Общества по результатам 2022</w:t>
      </w:r>
      <w:r>
        <w:rPr>
          <w:sz w:val="22"/>
        </w:rPr>
        <w:t xml:space="preserve"> отчетного года.</w:t>
      </w:r>
    </w:p>
    <w:p w14:paraId="14000000">
      <w:pPr>
        <w:ind/>
        <w:jc w:val="both"/>
        <w:rPr>
          <w:sz w:val="22"/>
        </w:rPr>
      </w:pPr>
      <w:r>
        <w:rPr>
          <w:sz w:val="22"/>
        </w:rPr>
        <w:t>3. Избрание членов Совета директоров Общества.</w:t>
      </w:r>
    </w:p>
    <w:p w14:paraId="15000000">
      <w:pPr>
        <w:ind/>
        <w:jc w:val="both"/>
        <w:rPr>
          <w:sz w:val="22"/>
        </w:rPr>
      </w:pPr>
      <w:r>
        <w:rPr>
          <w:sz w:val="22"/>
        </w:rPr>
        <w:t>4. Утверждение аудитора Общества.</w:t>
      </w:r>
    </w:p>
    <w:p w14:paraId="16000000">
      <w:pPr>
        <w:pStyle w:val="Style_3"/>
        <w:widowControl w:val="1"/>
        <w:ind/>
        <w:jc w:val="both"/>
        <w:rPr>
          <w:rFonts w:ascii="Times New Roman" w:hAnsi="Times New Roman"/>
          <w:sz w:val="22"/>
        </w:rPr>
      </w:pPr>
    </w:p>
    <w:p w14:paraId="17000000">
      <w:pPr>
        <w:ind w:right="-1"/>
        <w:jc w:val="both"/>
        <w:rPr>
          <w:sz w:val="22"/>
        </w:rPr>
      </w:pPr>
      <w:r>
        <w:rPr>
          <w:b w:val="1"/>
          <w:sz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 w:val="1"/>
          <w:sz w:val="22"/>
          <w:u w:val="single"/>
        </w:rPr>
        <w:t>годового</w:t>
      </w:r>
      <w:r>
        <w:rPr>
          <w:b w:val="1"/>
          <w:sz w:val="22"/>
          <w:u w:val="single"/>
        </w:rPr>
        <w:t xml:space="preserve"> общего собрания акционеров, лица, имеющие право на участие </w:t>
      </w:r>
      <w:r>
        <w:rPr>
          <w:b w:val="1"/>
          <w:sz w:val="22"/>
          <w:u w:val="single"/>
        </w:rPr>
        <w:t>в годовом</w:t>
      </w:r>
      <w:r>
        <w:rPr>
          <w:b w:val="1"/>
          <w:sz w:val="22"/>
          <w:u w:val="single"/>
        </w:rPr>
        <w:t xml:space="preserve"> общем собрании акционеров могут ознакомиться по адресу:</w:t>
      </w:r>
      <w:r>
        <w:rPr>
          <w:sz w:val="22"/>
        </w:rPr>
        <w:t xml:space="preserve"> </w:t>
      </w:r>
    </w:p>
    <w:p w14:paraId="18000000">
      <w:pPr>
        <w:ind w:right="-1"/>
        <w:jc w:val="both"/>
        <w:rPr>
          <w:sz w:val="22"/>
        </w:rPr>
      </w:pPr>
    </w:p>
    <w:p w14:paraId="19000000">
      <w:pPr>
        <w:ind w:right="-1"/>
        <w:jc w:val="both"/>
        <w:rPr>
          <w:sz w:val="22"/>
        </w:rPr>
      </w:pPr>
    </w:p>
    <w:p w14:paraId="1A000000">
      <w:pPr>
        <w:ind w:right="-1"/>
        <w:jc w:val="center"/>
        <w:rPr>
          <w:sz w:val="22"/>
        </w:rPr>
      </w:pPr>
      <w:r>
        <w:rPr>
          <w:sz w:val="22"/>
        </w:rPr>
        <w:t xml:space="preserve">Ленинградская область, Приозерский район, </w:t>
      </w:r>
    </w:p>
    <w:p w14:paraId="1B000000">
      <w:pPr>
        <w:ind w:right="-1"/>
        <w:jc w:val="center"/>
        <w:rPr>
          <w:sz w:val="22"/>
        </w:rPr>
      </w:pPr>
      <w:r>
        <w:rPr>
          <w:sz w:val="22"/>
        </w:rPr>
        <w:t>дер. Кривко, ул. Фестивальная, д. 1,</w:t>
      </w:r>
    </w:p>
    <w:p w14:paraId="1C000000">
      <w:pPr>
        <w:ind w:right="-1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 xml:space="preserve"> с 11 апреля 2023</w:t>
      </w:r>
      <w:r>
        <w:rPr>
          <w:b w:val="1"/>
          <w:i w:val="1"/>
          <w:sz w:val="22"/>
        </w:rPr>
        <w:t xml:space="preserve"> года, с 10:00 до 15:00. </w:t>
      </w:r>
    </w:p>
    <w:p w14:paraId="1D000000">
      <w:pPr>
        <w:ind w:firstLine="720" w:left="0" w:right="-1"/>
        <w:jc w:val="both"/>
        <w:rPr>
          <w:sz w:val="22"/>
        </w:rPr>
      </w:pPr>
    </w:p>
    <w:p w14:paraId="1E000000">
      <w:pPr>
        <w:ind w:right="-1"/>
        <w:jc w:val="both"/>
        <w:rPr>
          <w:sz w:val="22"/>
        </w:rPr>
      </w:pPr>
      <w:r>
        <w:rPr>
          <w:sz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</w:rPr>
        <w:t>в годовом</w:t>
      </w:r>
      <w:r>
        <w:rPr>
          <w:sz w:val="22"/>
        </w:rPr>
        <w:t xml:space="preserve"> общем собрании акционеров.</w:t>
      </w:r>
    </w:p>
    <w:p w14:paraId="1F000000">
      <w:pPr>
        <w:ind w:right="-1"/>
        <w:jc w:val="both"/>
        <w:rPr>
          <w:sz w:val="22"/>
        </w:rPr>
      </w:pPr>
    </w:p>
    <w:p w14:paraId="20000000">
      <w:pPr>
        <w:ind/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Совет директоров Общества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Body Text 2"/>
    <w:basedOn w:val="Style_4"/>
    <w:link w:val="Style_11_ch"/>
    <w:pPr>
      <w:spacing w:after="120" w:line="480" w:lineRule="auto"/>
      <w:ind/>
    </w:pPr>
  </w:style>
  <w:style w:styleId="Style_11_ch" w:type="character">
    <w:name w:val="Body Text 2"/>
    <w:basedOn w:val="Style_4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Nonformat"/>
    <w:link w:val="Style_3"/>
    <w:rPr>
      <w:rFonts w:ascii="Courier New" w:hAnsi="Courier New"/>
      <w:sz w:val="20"/>
    </w:rPr>
  </w:style>
  <w:style w:styleId="Style_1" w:type="paragraph">
    <w:name w:val="Body Text"/>
    <w:basedOn w:val="Style_4"/>
    <w:link w:val="Style_1_ch"/>
    <w:pPr>
      <w:ind/>
      <w:jc w:val="center"/>
    </w:pPr>
    <w:rPr>
      <w:b w:val="1"/>
      <w:sz w:val="28"/>
      <w:u w:val="single"/>
    </w:rPr>
  </w:style>
  <w:style w:styleId="Style_1_ch" w:type="character">
    <w:name w:val="Body Text"/>
    <w:basedOn w:val="Style_4_ch"/>
    <w:link w:val="Style_1"/>
    <w:rPr>
      <w:b w:val="1"/>
      <w:sz w:val="28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MyOffice-CoreFramework-iOS/26-1013.725.7189.647.24@RELEASE-CORE-26.0-RC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2023-04-10T10:37:13Z</dcterms:modified>
</cp:coreProperties>
</file>